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Wasser/Abwasser</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val="false"/>
              <w:spacing w:before="120" w:after="60"/>
              <w:ind w:left="-97" w:hanging="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Das Verfahren „Wasser-Abwasser“ bietet die Möglichkeit zur automatisierten Ermittlung, Festsetzung und Abrechnung von Wasser- und Abwassergebühren und den zugehörigen Vorauszahlungen, sowie der Darstellung gesplitteter Abwassergebühren (Niederschlagwasser)</w:t>
            </w:r>
          </w:p>
          <w:p>
            <w:pPr>
              <w:pStyle w:val="Normal"/>
              <w:widowControl w:val="false"/>
              <w:spacing w:before="120" w:after="60"/>
              <w:ind w:left="-97" w:hanging="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für die Wasser-Abwasserabrechnung und Vorauszahlungsberechnung notwendigen Berechnungsgrundlagen werden in einem Veranlagungskonto abgebildet. Neben den Stammdaten zum Objekt, wie z.B. der Straße enthält das Veranlagungskonto die notwendigen Zählerstammdaten, sowie die Grundlagen der laufenden Vorauszahlungen, Pauschalen, Gutschriften und Nachberechnungen. Über ein Regiezentrum kann auf alle Daten eines Falles zugegriffen werden. Alle relevanten Daten auch historische können am Bildschirm eingesehen und verändert werden.</w:t>
            </w:r>
          </w:p>
          <w:p>
            <w:pPr>
              <w:pStyle w:val="Normal"/>
              <w:widowControl w:val="false"/>
              <w:spacing w:before="120" w:after="60"/>
              <w:ind w:left="-97" w:hanging="0"/>
              <w:jc w:val="left"/>
              <w:rPr>
                <w:rFonts w:ascii="DM Sans" w:hAnsi="DM Sans" w:cs="Segoe UI" w:asciiTheme="minorHAnsi" w:hAnsiTheme="minorHAnsi"/>
                <w:sz w:val="20"/>
              </w:rPr>
            </w:pPr>
            <w:r>
              <w:rPr>
                <w:rFonts w:eastAsia="DM Sans" w:cs="Segoe UI"/>
                <w:color w:val="003A40"/>
                <w:kern w:val="0"/>
                <w:sz w:val="20"/>
                <w:szCs w:val="20"/>
                <w:lang w:val="de-DE" w:eastAsia="en-US" w:bidi="ar-SA"/>
              </w:rPr>
              <w:t>Sollstellungen, die sich bei einer Vorauszahlungsfestsetzung oder Abrechnung ergeben, werden an die Buchhaltung übergeben. Vorauszahlungen, Abrechnungen und deren Änderungen werden dem Gebührenpflichtigen in Form einer Rechnung / Kundenmitteilung bekannt gegeben. Für die Kasse wird zur Prüfung ein Verbuchungsprotokoll erzeugt. Darüber hinaus sind umfangreiche Auswertungs- und Datenanalysemöglichkeiten, sowie ein Datenausgleich mit Partnerfirmen für die Zählerstandserfassung und Zählerwechsel möglich.</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gesetzliche Grundlage ergibt sich aus den §§4 und 11 der GemO i.V.m. §§2, 11 und 13 KAG; die Verarbeitung in datentechnischer Hinsicht aus Art. 6 Abs.1 lit b bzw. lit. e DS-GVO.</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val="false"/>
              <w:tabs>
                <w:tab w:val="clear" w:pos="709"/>
                <w:tab w:val="left" w:pos="466" w:leader="none"/>
                <w:tab w:val="left" w:pos="1696" w:leader="none"/>
              </w:tabs>
              <w:spacing w:before="120" w:after="120"/>
              <w:jc w:val="left"/>
              <w:rPr>
                <w:rFonts w:ascii="DM Sans" w:hAnsi="DM Sans" w:cs="Segoe UI" w:asciiTheme="minorHAnsi" w:hAnsiTheme="minorHAnsi"/>
                <w:color w:val="003A40" w:themeColor="text2"/>
                <w:sz w:val="20"/>
              </w:rPr>
            </w:pPr>
            <w:r>
              <w:rPr>
                <w:rFonts w:eastAsia="DM Sans" w:cs="Segoe UI"/>
                <w:color w:val="003A40" w:themeColor="text2"/>
                <w:kern w:val="0"/>
                <w:sz w:val="20"/>
                <w:szCs w:val="20"/>
                <w:lang w:val="de-DE" w:eastAsia="en-US" w:bidi="ar-SA"/>
              </w:rPr>
              <w:t>Insbesondere im Steuerrecht gelten besondere Bestimmungen für den Datenschutz, auf deren Einhaltung geachtet werden muss. Das Verfahren unterstützt daher die datenschutzrechtlichen Belangen in folgenden Punkten:</w:t>
            </w:r>
          </w:p>
          <w:p>
            <w:pPr>
              <w:pStyle w:val="ListParagraph"/>
              <w:widowControl w:val="false"/>
              <w:numPr>
                <w:ilvl w:val="0"/>
                <w:numId w:val="7"/>
              </w:numPr>
              <w:tabs>
                <w:tab w:val="clear" w:pos="709"/>
                <w:tab w:val="left" w:pos="466" w:leader="none"/>
                <w:tab w:val="left" w:pos="1696" w:leader="none"/>
              </w:tabs>
              <w:spacing w:lineRule="auto" w:line="240" w:before="120" w:after="0"/>
              <w:contextualSpacing/>
              <w:jc w:val="left"/>
              <w:rPr>
                <w:rFonts w:ascii="DM Sans" w:hAnsi="DM Sans" w:cs="Segoe UI" w:asciiTheme="minorHAnsi" w:hAnsiTheme="minorHAnsi"/>
                <w:color w:val="003A40" w:themeColor="text2"/>
                <w:sz w:val="20"/>
              </w:rPr>
            </w:pPr>
            <w:r>
              <w:rPr>
                <w:rFonts w:eastAsia="DM Sans" w:cs="Segoe UI"/>
                <w:color w:val="003A40" w:themeColor="text2"/>
                <w:kern w:val="0"/>
                <w:sz w:val="20"/>
                <w:szCs w:val="20"/>
                <w:lang w:val="de-DE" w:eastAsia="en-US" w:bidi="ar-SA"/>
              </w:rPr>
              <w:t xml:space="preserve">    </w:t>
            </w:r>
            <w:r>
              <w:rPr>
                <w:rFonts w:eastAsia="DM Sans" w:cs="Segoe UI"/>
                <w:color w:val="003A40" w:themeColor="text2"/>
                <w:kern w:val="0"/>
                <w:sz w:val="20"/>
                <w:szCs w:val="20"/>
                <w:lang w:val="de-DE" w:eastAsia="en-US" w:bidi="ar-SA"/>
              </w:rPr>
              <w:t>Periodisches Löschen von Erhebungszeiträumen, bei denen die Festsetzungs</w:t>
            </w:r>
            <w:bookmarkStart w:id="1" w:name="_GoBack"/>
            <w:bookmarkEnd w:id="1"/>
            <w:r>
              <w:rPr>
                <w:rFonts w:eastAsia="DM Sans" w:cs="Segoe UI"/>
                <w:color w:val="003A40" w:themeColor="text2"/>
                <w:kern w:val="0"/>
                <w:sz w:val="20"/>
                <w:szCs w:val="20"/>
                <w:lang w:val="de-DE" w:eastAsia="en-US" w:bidi="ar-SA"/>
              </w:rPr>
              <w:t>verjährungsfrist abgelaufen ist, soweit dies im Einzelfall vom Sachbearbeiter nicht anderweitig bestimmt wurde, weil z.B. ein Rechtsstreit anhängig ist</w:t>
            </w:r>
          </w:p>
          <w:p>
            <w:pPr>
              <w:pStyle w:val="ListParagraph"/>
              <w:widowControl w:val="false"/>
              <w:numPr>
                <w:ilvl w:val="0"/>
                <w:numId w:val="7"/>
              </w:numPr>
              <w:tabs>
                <w:tab w:val="clear" w:pos="709"/>
                <w:tab w:val="left" w:pos="466" w:leader="none"/>
                <w:tab w:val="left" w:pos="1696" w:leader="none"/>
              </w:tabs>
              <w:spacing w:lineRule="auto" w:line="240" w:before="120" w:after="60"/>
              <w:contextualSpacing/>
              <w:jc w:val="left"/>
              <w:rPr>
                <w:rFonts w:ascii="DM Sans" w:hAnsi="DM Sans" w:cs="Segoe UI" w:asciiTheme="minorHAnsi" w:hAnsiTheme="minorHAnsi"/>
                <w:color w:val="003A40" w:themeColor="text2"/>
                <w:sz w:val="20"/>
              </w:rPr>
            </w:pPr>
            <w:r>
              <w:rPr>
                <w:rFonts w:eastAsia="DM Sans" w:cs="Segoe UI"/>
                <w:color w:val="003A40" w:themeColor="text2"/>
                <w:kern w:val="0"/>
                <w:sz w:val="20"/>
                <w:szCs w:val="20"/>
                <w:lang w:val="de-DE" w:eastAsia="en-US" w:bidi="ar-SA"/>
              </w:rPr>
              <w:t xml:space="preserve">    </w:t>
            </w:r>
            <w:r>
              <w:rPr>
                <w:rFonts w:eastAsia="DM Sans" w:cs="Segoe UI"/>
                <w:color w:val="003A40" w:themeColor="text2"/>
                <w:kern w:val="0"/>
                <w:sz w:val="20"/>
                <w:szCs w:val="20"/>
                <w:lang w:val="de-DE" w:eastAsia="en-US" w:bidi="ar-SA"/>
              </w:rPr>
              <w:t>Periodisches Löschen von Steuerfällen, deren Steuerpflicht bereits länger als die Festsetzungsverjährungsfrist bei der Grundsteuer zurückliegt</w:t>
            </w:r>
          </w:p>
          <w:p>
            <w:pPr>
              <w:pStyle w:val="Normal"/>
              <w:widowControl w:val="false"/>
              <w:tabs>
                <w:tab w:val="clear" w:pos="709"/>
                <w:tab w:val="left" w:pos="466" w:leader="none"/>
                <w:tab w:val="left" w:pos="1696" w:leader="none"/>
              </w:tabs>
              <w:spacing w:before="120" w:after="60"/>
              <w:jc w:val="left"/>
              <w:rPr>
                <w:rFonts w:ascii="DM Sans" w:hAnsi="DM Sans" w:cs="Segoe UI" w:asciiTheme="minorHAnsi" w:hAnsiTheme="minorHAnsi"/>
                <w:color w:val="003A40" w:themeColor="text2"/>
                <w:sz w:val="20"/>
              </w:rPr>
            </w:pPr>
            <w:r>
              <w:rPr>
                <w:rFonts w:eastAsia="DM Sans" w:cs="Segoe UI"/>
                <w:color w:val="003A40" w:themeColor="text2"/>
                <w:kern w:val="0"/>
                <w:sz w:val="20"/>
                <w:szCs w:val="20"/>
                <w:lang w:val="de-DE" w:eastAsia="en-US" w:bidi="ar-SA"/>
              </w:rPr>
              <w:t>Das Verfahren bietet flexible Möglichkeiten zum Hinterlegen von spezifischen Angaben in den einzelnen Steuerfällen. Dies dürfen aber nur im dem Rahmen verwendet werden, wie sie zur unmittelbaren Aufgabenerfüllung bzw. Besteuerung notwendig sind.</w:t>
            </w:r>
          </w:p>
          <w:p>
            <w:pPr>
              <w:pStyle w:val="Normal"/>
              <w:widowControl w:val="false"/>
              <w:tabs>
                <w:tab w:val="clear" w:pos="709"/>
                <w:tab w:val="left" w:pos="466" w:leader="none"/>
                <w:tab w:val="left" w:pos="1696" w:leader="none"/>
              </w:tabs>
              <w:spacing w:before="120" w:after="60"/>
              <w:jc w:val="left"/>
              <w:rPr>
                <w:rFonts w:ascii="Arial" w:hAnsi="Arial" w:cs="Arial"/>
                <w:sz w:val="20"/>
              </w:rPr>
            </w:pPr>
            <w:r>
              <w:rPr>
                <w:rFonts w:eastAsia="DM Sans" w:cs="Segoe UI"/>
                <w:color w:val="003A40" w:themeColor="text2"/>
                <w:kern w:val="0"/>
                <w:sz w:val="20"/>
                <w:szCs w:val="20"/>
                <w:lang w:val="de-DE" w:eastAsia="en-US" w:bidi="ar-SA"/>
              </w:rPr>
              <w:t>Für alle diese Fälle lässt sich keine konkrete Frist nennen. Löschen bzw. Sperrung haben bei korrekter Gesetzesauslegung mit dem Eintritt des Ereignisses, das zur Löschung bzw. Sperrung führt, zu erfolgen. Diesem Grundsatz gehen spezialgesetzliche Regelungen vor, soweit sie eine längere Speicherung vorsehen (z.B. §147 AO).</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ListParagraph"/>
              <w:widowControl/>
              <w:numPr>
                <w:ilvl w:val="0"/>
                <w:numId w:val="8"/>
              </w:numPr>
              <w:spacing w:before="0" w:after="120"/>
              <w:contextualSpacing/>
              <w:jc w:val="left"/>
              <w:rPr>
                <w:rFonts w:ascii="DM Sans" w:hAnsi="DM Sans" w:cs="Segoe UI" w:asciiTheme="minorHAnsi" w:hAnsiTheme="minorHAnsi"/>
                <w:sz w:val="20"/>
              </w:rPr>
            </w:pPr>
            <w:r>
              <w:rPr>
                <w:rFonts w:eastAsia="DM Sans" w:cs="Segoe UI"/>
                <w:color w:val="003A40"/>
                <w:kern w:val="0"/>
                <w:sz w:val="20"/>
                <w:szCs w:val="20"/>
                <w:lang w:val="de-DE" w:eastAsia="en-US" w:bidi="ar-SA"/>
              </w:rPr>
              <w:t>Bearbeitende Stelle innerhalb der Gemeinde-/Stadtverwaltung (i.d.R. Steueramt)</w:t>
            </w:r>
          </w:p>
          <w:p>
            <w:pPr>
              <w:pStyle w:val="ListParagraph"/>
              <w:widowControl w:val="false"/>
              <w:numPr>
                <w:ilvl w:val="0"/>
                <w:numId w:val="9"/>
              </w:numPr>
              <w:spacing w:before="60" w:after="120"/>
              <w:contextualSpacing/>
              <w:jc w:val="left"/>
              <w:rPr>
                <w:rFonts w:ascii="DM Sans" w:hAnsi="DM Sans" w:cs="Segoe UI" w:asciiTheme="minorHAnsi" w:hAnsiTheme="minorHAnsi"/>
                <w:sz w:val="20"/>
              </w:rPr>
            </w:pPr>
            <w:r>
              <w:rPr>
                <w:rFonts w:eastAsia="DM Sans" w:cs="Segoe UI"/>
                <w:color w:val="003A40"/>
                <w:kern w:val="0"/>
                <w:sz w:val="20"/>
                <w:szCs w:val="20"/>
                <w:lang w:val="de-DE" w:eastAsia="en-US" w:bidi="ar-SA"/>
              </w:rPr>
              <w:t>Beschäftigte des Auftragsnehmers KIVBF / ITEOS für die im Auftrag nach Art. 28 DSGVO bestimmten Verarbeitungsvorgänge.</w:t>
            </w:r>
          </w:p>
          <w:p>
            <w:pPr>
              <w:pStyle w:val="ListParagraph"/>
              <w:widowControl/>
              <w:numPr>
                <w:ilvl w:val="0"/>
                <w:numId w:val="10"/>
              </w:numPr>
              <w:spacing w:before="0" w:after="120"/>
              <w:contextualSpacing/>
              <w:jc w:val="left"/>
              <w:rPr>
                <w:rFonts w:ascii="DM Sans" w:hAnsi="DM Sans" w:cs="Segoe UI" w:asciiTheme="minorHAnsi" w:hAnsiTheme="minorHAnsi"/>
                <w:sz w:val="20"/>
              </w:rPr>
            </w:pPr>
            <w:r>
              <w:rPr>
                <w:rFonts w:eastAsia="DM Sans" w:cs="Segoe UI"/>
                <w:color w:val="003A40"/>
                <w:kern w:val="0"/>
                <w:sz w:val="16"/>
                <w:szCs w:val="20"/>
                <w:lang w:val="de-DE" w:eastAsia="en-US" w:bidi="ar-SA"/>
              </w:rPr>
              <w:t>I</w:t>
            </w:r>
            <w:r>
              <w:rPr>
                <w:rFonts w:eastAsia="DM Sans" w:cs="Segoe UI"/>
                <w:color w:val="003A40"/>
                <w:kern w:val="0"/>
                <w:sz w:val="16"/>
                <w:szCs w:val="20"/>
                <w:lang w:val="de-DE" w:eastAsia="en-US" w:bidi="ar-SA"/>
              </w:rPr>
              <w:t>n Ausnahmefällen erhält der Softwareentwickler nach vorheriger Genehmigung durch den Verantwortlichen vom Auftragsverarbeiter Auszüge aus dem Datenbestand für Fehlerüberprüfung / Softwareentwicklung.</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Arial">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5"/>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5"/>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7"/>
  </w:num>
  <w:num w:numId="9">
    <w:abstractNumId w:val="7"/>
  </w:num>
  <w:num w:numId="10">
    <w:abstractNumId w:val="7"/>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9083C-A361-437B-B0C9-B330BC8D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AD5607EB.dotm</Template>
  <TotalTime>0</TotalTime>
  <Application>LibreOffice/7.2.7.2$Windows_X86_64 LibreOffice_project/8d71d29d553c0f7dcbfa38fbfda25ee34cce99a2</Application>
  <AppVersion>15.0000</AppVersion>
  <Pages>3</Pages>
  <Words>634</Words>
  <Characters>4527</Characters>
  <CharactersWithSpaces>5124</CharactersWithSpaces>
  <Paragraphs>46</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2024-04-16T09:58:51Z</dcterms:modified>
  <cp:revision>6</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