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– dvv-Personal</w:t>
      </w:r>
      <w:bookmarkStart w:id="0" w:name="_GoBack"/>
      <w:bookmarkEnd w:id="0"/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1" w:name="os_autosavelastposition105363"/>
            <w:bookmarkEnd w:id="1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 w:val="false"/>
              <w:spacing w:before="120" w:after="60"/>
              <w:ind w:left="-97" w:hanging="0"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Lohn-, Gehalts- und Bezügeabrechnung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Berechnung und Überweisung der monatlichen Nettogehälter, Löhne und Bezüge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Erstellung von Lohnsteuerbescheinigungen nach § 41b EStG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Abruf von Lohnsteuermerkmalen bei den Finanzämtern nach § 39e EStG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Nachweis über Entgelte, Beitragszeiten, Beiträge zur Kranken-, Pflege-, Renten- und Arbeitslosenversicherung nach der Beitragsüberwachsverordnung, Grundsätze betr. Aufzeichnungs- und Nachweispflichten der Arbeitgeber sowie deren Mitwirkungspflichten bei der Beitragsüberwachung der Spitzenverbände der Krankenkassen, der VDR und der BfA v. 09.11.1989, Datenerfassungs- und übermittlungsverordnung § 28a SGB IV, § 284 SGB V, § 148 SGB VI, § 94 SGB XI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Datenaustausch zur Krankengeldberechnung und bei Vorerkrankungen nach § 23c Abs. 2 SGB IV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Elektronische Übermittlung von Bescheinigungen an die Sozialversicherungsträger nach § 108 SGB IV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Erstellung des Verzeichnisses der beschäftigten schwerbehinderten, ihnen gleichgestellten behinderten Menschen und sonstigen anrechnungsfähigen Personen, Berechnung der Ausgleichsabgabe nach § 80 SGB IX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Meldung von Abwesenheiten und Erstattungsbeträgen bei Entgeltfortzahlung im Krankheitsfall, Zuschuss zum Mutterschaftsgeld und Beschäftigungsverbot nach § 2 Abs. 3 AAG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Nachweis über Entgelte, Beitragszeiten, Beiträge zur Zusatzversorgung nach den Allgemeine Richtlinien der Zusatzversorgungseinrichtungen des öffentlichen Dienstes für ein einheitliches Verfahren der automatisierten Datenübermittlung DATÜV-ZVE, Satzungen der verschiedenen Zusatzversorgungskassen ( Kommunale ZVK, VBL, Bühnen- und Orchesterversorgung, Ärzteversorgung)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Berechnung der Umlage des KVBW, Datenübermittlung der Bemessungsgrundlagen für die Beihilfeumlage nach § 28 und 29 Gesetz über den Kommunalen Versorgungsband Baden-Württemberg (GKV)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Freiwillige Versicherung in der Zusatzversorgung/ Riesterrente, Überweisung der Beträge aufgrund freiw. Versicherungsverträge, § 10a EStG Zusätzliche Altersvorsorge, § 79 ff EStG Zulagenberechtigte, Altersvorsorge-Durchführungsverordnung /</w:t>
            </w:r>
          </w:p>
          <w:p>
            <w:pPr>
              <w:pStyle w:val="ListParagraph"/>
              <w:widowControl w:val="false"/>
              <w:spacing w:before="120" w:after="60"/>
              <w:ind w:left="360" w:hanging="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Altb-DV), SGB IV</w:t>
            </w:r>
          </w:p>
          <w:p>
            <w:pPr>
              <w:pStyle w:val="ListParagraph"/>
              <w:widowControl w:val="false"/>
              <w:numPr>
                <w:ilvl w:val="0"/>
                <w:numId w:val="6"/>
              </w:numPr>
              <w:spacing w:lineRule="auto" w:line="240" w:before="120" w:after="6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Überweisung der vermögenswirksamen Anlage der Beschäftigten nach § 3 Abs. 2 Fünftes Vermögensbildungsgesetz</w:t>
            </w:r>
          </w:p>
          <w:p>
            <w:pPr>
              <w:pStyle w:val="Normal"/>
              <w:widowControl w:val="false"/>
              <w:spacing w:before="120" w:after="60"/>
              <w:ind w:left="-97" w:hanging="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Überweisung der Pfändungs- und Überweisungsbeschlüsse sowie Vereinbarungen mit den Beschäftigten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color w:val="003A40" w:themeColor="text2"/>
                <w:sz w:val="20"/>
              </w:rPr>
            </w:pPr>
            <w:r>
              <w:rPr>
                <w:rFonts w:eastAsia="DM Sans" w:cs="Segoe UI"/>
                <w:color w:val="003A40" w:themeColor="text2"/>
                <w:kern w:val="0"/>
                <w:sz w:val="20"/>
                <w:szCs w:val="20"/>
                <w:lang w:val="de-DE" w:eastAsia="en-US" w:bidi="ar-SA"/>
              </w:rPr>
              <w:t>Siehe nachfolgende Liste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/>
                <w:b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Intern: Zugriffberechtigte; Durch den Anwender zu bestimmen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Extern: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60" w:after="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KIVBF/KRBF GmbH je nach Vertragspartner:</w:t>
            </w:r>
          </w:p>
          <w:p>
            <w:pPr>
              <w:pStyle w:val="ListParagraph"/>
              <w:widowControl w:val="false"/>
              <w:spacing w:before="60" w:after="12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Beschäftigte des Auftragnehmers für die im Auftrag nach Artikel 28 DSGVO bestimmten Verarbeitungsvorgänge. Technischer Verfahrensbetrieb (Applikationsserver, Datenbankserver, Sicherung, Backup-Vorsorge), technischer und fachlicher Support durch beim Auftragsverarbeiter eingerichtete Organisationsstrukturen (First-Level-Support, Second-Level-Support etc.)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60" w:after="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Kreditinstitute/Drittempfänger:</w:t>
            </w:r>
          </w:p>
          <w:p>
            <w:pPr>
              <w:pStyle w:val="ListParagraph"/>
              <w:widowControl w:val="false"/>
              <w:spacing w:before="60" w:after="12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Für Überweisung des monatlichen Nettogehalts, der vermögenswirksamen Leistungen des Bediensteten, der Pfändungen und Abtretungen, der Beiträge zur freiwilligen Versicherung (Riesterrente/Entgeltumwandlung)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60" w:after="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Zuständiges Finanzamt, Bundesknappschaft</w:t>
            </w:r>
          </w:p>
          <w:p>
            <w:pPr>
              <w:pStyle w:val="ListParagraph"/>
              <w:widowControl w:val="false"/>
              <w:spacing w:before="60" w:after="12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Für Kindergeldstatistik, Erstellung von Lohnsteuerbescheinigungen, Zahlung der Lohn-/Kirchensteuer, der Pauschalsteuer, des Solidaritätszuschlags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60" w:after="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Gesetzliche Krankenkassen:</w:t>
            </w:r>
          </w:p>
          <w:p>
            <w:pPr>
              <w:pStyle w:val="ListParagraph"/>
              <w:widowControl w:val="false"/>
              <w:spacing w:before="60" w:after="12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Für Nachweis über Entgelte, Beitragszeiten, Arbeitgeberaufwand, Entgeltersatzleistungen</w:t>
            </w:r>
          </w:p>
          <w:p>
            <w:pPr>
              <w:pStyle w:val="ListParagraph"/>
              <w:widowControl w:val="false"/>
              <w:spacing w:before="60" w:after="12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Beiträge zur Kranken-, Pflege-, Renten- und Arbeitslosenversicherung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60" w:after="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Zusatzversorgungskassen</w:t>
            </w:r>
          </w:p>
          <w:p>
            <w:pPr>
              <w:pStyle w:val="ListParagraph"/>
              <w:widowControl w:val="false"/>
              <w:spacing w:before="60" w:after="12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Für Nachweis über Entgelte, Beitragszeiten, Beiträge zur Zusatzversorgung der Angestellten und Arbeiter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60" w:after="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Zuständiges Integrationsamt</w:t>
            </w:r>
          </w:p>
          <w:p>
            <w:pPr>
              <w:pStyle w:val="ListParagraph"/>
              <w:widowControl w:val="false"/>
              <w:spacing w:before="60" w:after="12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Für Erstellung des Verzeichnisses der beschäftigten schwerbehinderten, ihnen gleichgestellten behinderten Menschen und sonstigen anrechnungsfähigen Personen, Berechnung der Ausgleichabgabe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60" w:after="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Kommunaler Versorgungsverband</w:t>
            </w:r>
          </w:p>
          <w:p>
            <w:pPr>
              <w:pStyle w:val="ListParagraph"/>
              <w:widowControl w:val="false"/>
              <w:spacing w:before="60" w:after="12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Für Berechnung der Beihilfeumlagen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60" w:after="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Zentrale Zulagenstelle für Altersvermögen (ZfA) ehemals BfA</w:t>
            </w:r>
          </w:p>
          <w:p>
            <w:pPr>
              <w:pStyle w:val="ListParagraph"/>
              <w:widowControl w:val="false"/>
              <w:spacing w:before="60" w:after="12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Zur Bearbeitung der Anträge auf Altersvorsorgezulage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60" w:after="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Kommunaler Arbeitgeberverband (KAV)</w:t>
            </w:r>
          </w:p>
          <w:p>
            <w:pPr>
              <w:pStyle w:val="ListParagraph"/>
              <w:widowControl w:val="false"/>
              <w:spacing w:before="60" w:after="12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Für die KAV-Statistik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60" w:after="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Statistisches Landesamt</w:t>
            </w:r>
          </w:p>
          <w:p>
            <w:pPr>
              <w:pStyle w:val="ListParagraph"/>
              <w:widowControl w:val="false"/>
              <w:spacing w:before="60" w:after="12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Für Arbeitskostenerhebung, Personalstandstatistik, Verdienststrukturerhebung, Vierteljährliche Verdiensterhebung, Versorgungsempfängerstatistik, ZENSUS</w:t>
            </w:r>
          </w:p>
          <w:p>
            <w:pPr>
              <w:pStyle w:val="ListParagraph"/>
              <w:widowControl w:val="false"/>
              <w:numPr>
                <w:ilvl w:val="0"/>
                <w:numId w:val="7"/>
              </w:numPr>
              <w:spacing w:lineRule="auto" w:line="240" w:before="60" w:after="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Bundesagentur für Arbeit</w:t>
            </w:r>
          </w:p>
          <w:p>
            <w:pPr>
              <w:pStyle w:val="ListParagraph"/>
              <w:widowControl w:val="false"/>
              <w:spacing w:before="60" w:after="120"/>
              <w:contextualSpacing/>
              <w:jc w:val="left"/>
              <w:rPr>
                <w:rFonts w:ascii="DM Sans" w:hAnsi="DM Sans" w:cs="Arial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Aufgrund der Arbeitsbescheinigung gemäß §312 SGB III,</w:t>
            </w:r>
          </w:p>
          <w:p>
            <w:pPr>
              <w:pStyle w:val="ListParagraph"/>
              <w:widowControl w:val="false"/>
              <w:spacing w:before="60" w:after="120"/>
              <w:contextualSpacing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Arial"/>
                <w:color w:val="003A40"/>
                <w:kern w:val="0"/>
                <w:sz w:val="20"/>
                <w:szCs w:val="20"/>
                <w:lang w:val="de-DE" w:eastAsia="en-US" w:bidi="ar-SA"/>
              </w:rPr>
              <w:t>Nebeneinkommensbescheinigung gemäß §313 SGB III, Arbeitsbescheinigung für Zwecke des über-/zwischenstaatlichen Rechts gemäß §312a SGB III</w:t>
            </w:r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4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4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4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10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EF19E2C-013C-41E6-98EC-519F30B83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LibreOffice/7.2.7.2$Windows_X86_64 LibreOffice_project/8d71d29d553c0f7dcbfa38fbfda25ee34cce99a2</Application>
  <AppVersion>15.0000</AppVersion>
  <Pages>4</Pages>
  <Words>743</Words>
  <Characters>5757</Characters>
  <CharactersWithSpaces>6407</CharactersWithSpaces>
  <Paragraphs>76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2024-04-16T09:48:13Z</dcterms:modified>
  <cp:revision>13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